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0F02DF" w:rsidRDefault="00EA4BF4" w:rsidP="00EA4BF4">
            <w:pPr>
              <w:pStyle w:val="NoSpacing"/>
              <w:ind w:left="360"/>
              <w:rPr>
                <w:rFonts w:asciiTheme="majorHAnsi" w:eastAsiaTheme="majorEastAsia" w:hAnsiTheme="majorHAnsi" w:cstheme="majorBidi"/>
                <w:b/>
                <w:bCs/>
                <w:color w:val="365F91" w:themeColor="accent1" w:themeShade="BF"/>
                <w:sz w:val="32"/>
                <w:szCs w:val="32"/>
              </w:rPr>
            </w:pPr>
            <w:r>
              <w:rPr>
                <w:rFonts w:asciiTheme="majorHAnsi" w:eastAsiaTheme="majorEastAsia" w:hAnsiTheme="majorHAnsi" w:cstheme="majorBidi"/>
                <w:b/>
                <w:bCs/>
                <w:color w:val="365F91" w:themeColor="accent1" w:themeShade="BF"/>
                <w:sz w:val="32"/>
                <w:szCs w:val="32"/>
              </w:rPr>
              <w:t>INDEPENDENT DIRECTOR ROLE IN FACILITATING EFFECTIVE MERGERS  &amp; ACQUISITIONS (M&amp;A) ACTIVITIES</w:t>
            </w:r>
          </w:p>
          <w:p w:rsidR="00EA4BF4" w:rsidRPr="003F6F40" w:rsidRDefault="00EA4BF4" w:rsidP="00EA4BF4">
            <w:pPr>
              <w:pStyle w:val="NoSpacing"/>
              <w:numPr>
                <w:ilvl w:val="0"/>
                <w:numId w:val="12"/>
              </w:numPr>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32"/>
                <w:szCs w:val="32"/>
              </w:rPr>
              <w:t>Doing It Right For Positive Impact</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EA4BF4" w:rsidP="00EA4BF4">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11</w:t>
            </w:r>
            <w:r w:rsidR="00105552">
              <w:rPr>
                <w:rFonts w:asciiTheme="minorHAnsi" w:eastAsiaTheme="minorEastAsia" w:hAnsiTheme="minorHAnsi" w:cstheme="minorBidi"/>
                <w:sz w:val="28"/>
                <w:szCs w:val="28"/>
              </w:rPr>
              <w:t xml:space="preserve"> </w:t>
            </w:r>
            <w:r w:rsidR="00146055">
              <w:rPr>
                <w:rFonts w:asciiTheme="minorHAnsi" w:eastAsiaTheme="minorEastAsia" w:hAnsiTheme="minorHAnsi" w:cstheme="minorBidi"/>
                <w:sz w:val="28"/>
                <w:szCs w:val="28"/>
              </w:rPr>
              <w:t xml:space="preserve">Mar / </w:t>
            </w:r>
            <w:r>
              <w:rPr>
                <w:rFonts w:asciiTheme="minorHAnsi" w:eastAsiaTheme="minorEastAsia" w:hAnsiTheme="minorHAnsi" w:cstheme="minorBidi"/>
                <w:sz w:val="28"/>
                <w:szCs w:val="28"/>
              </w:rPr>
              <w:t>15</w:t>
            </w:r>
            <w:r w:rsidR="00146055">
              <w:rPr>
                <w:rFonts w:asciiTheme="minorHAnsi" w:eastAsiaTheme="minorEastAsia" w:hAnsiTheme="minorHAnsi" w:cstheme="minorBidi"/>
                <w:sz w:val="28"/>
                <w:szCs w:val="28"/>
              </w:rPr>
              <w:t xml:space="preserve"> Apr / </w:t>
            </w:r>
            <w:r>
              <w:rPr>
                <w:rFonts w:asciiTheme="minorHAnsi" w:eastAsiaTheme="minorEastAsia" w:hAnsiTheme="minorHAnsi" w:cstheme="minorBidi"/>
                <w:sz w:val="28"/>
                <w:szCs w:val="28"/>
              </w:rPr>
              <w:t>10</w:t>
            </w:r>
            <w:r w:rsidR="00146055">
              <w:rPr>
                <w:rFonts w:asciiTheme="minorHAnsi" w:eastAsiaTheme="minorEastAsia" w:hAnsiTheme="minorHAnsi" w:cstheme="minorBidi"/>
                <w:sz w:val="28"/>
                <w:szCs w:val="28"/>
              </w:rPr>
              <w:t xml:space="preserve"> Jun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3F6F40" w:rsidTr="003F6F40">
        <w:tc>
          <w:tcPr>
            <w:tcW w:w="5640" w:type="dxa"/>
          </w:tcPr>
          <w:p w:rsidR="003F6F40" w:rsidRPr="003F6F40" w:rsidRDefault="00EA4BF4" w:rsidP="00146055">
            <w:pPr>
              <w:pStyle w:val="NoSpacing"/>
              <w:jc w:val="both"/>
              <w:rPr>
                <w:rFonts w:asciiTheme="minorHAnsi" w:eastAsiaTheme="minorEastAsia" w:hAnsiTheme="minorHAnsi" w:cstheme="minorBidi"/>
              </w:rPr>
            </w:pPr>
            <w:r w:rsidRPr="00EA4BF4">
              <w:rPr>
                <w:rFonts w:asciiTheme="minorHAnsi" w:eastAsiaTheme="minorEastAsia" w:hAnsiTheme="minorHAnsi" w:cstheme="minorBidi"/>
              </w:rPr>
              <w:t>Companies today are actively exploring and pursuing M&amp;A exercises; as such Independent Directors are required to understand M&amp;A activities in order to support the Board’s decision-making process effectively. As any badly executed merger and acquisition exercise can have a major financial impact on the Company’s going concern assumption. In deciding which merger or acquisitions will create shareholder value depends on the rigor and quality of due diligence performed on the transaction. Board members must understand the approach to due diligence goes above and beyond traditional accounting and financial analysis to assess the key assumptions underlying the deal.</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2F5951">
      <w:r w:rsidRPr="002F5951">
        <w:rPr>
          <w:noProof/>
          <w:lang w:eastAsia="zh-TW"/>
        </w:rPr>
        <w:pict>
          <v:group id="_x0000_s1027" style="position:absolute;margin-left:3144.2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2F5951">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2F5951">
        <w:rPr>
          <w:noProof/>
          <w:lang w:eastAsia="zh-TW"/>
        </w:rPr>
        <w:pict>
          <v:group id="_x0000_s1033" style="position:absolute;margin-left:4525.3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2F5951"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sidRPr="002F5951">
        <w:rPr>
          <w:noProof/>
          <w:lang w:eastAsia="zh-TW"/>
        </w:rPr>
        <w:pict>
          <v:shapetype id="_x0000_t202" coordsize="21600,21600" o:spt="202" path="m,l,21600r21600,l21600,xe">
            <v:stroke joinstyle="miter"/>
            <v:path gradientshapeok="t" o:connecttype="rect"/>
          </v:shapetype>
          <v:shape id="_x0000_s1044" type="#_x0000_t202" style="position:absolute;margin-left:78.65pt;margin-top:72.35pt;width:110pt;height:49.4pt;z-index:251652096;mso-height-percent:200;mso-height-percent:200;mso-width-relative:margin;mso-height-relative:margin" stroked="f">
            <v:textbox style="mso-fit-shape-to-text:t">
              <w:txbxContent>
                <w:p w:rsidR="004C3B41" w:rsidRPr="004B250B" w:rsidRDefault="004C3B41">
                  <w:pPr>
                    <w:rPr>
                      <w:rFonts w:ascii="Cambria" w:hAnsi="Cambria"/>
                      <w:b/>
                      <w:color w:val="17365D"/>
                      <w:sz w:val="36"/>
                      <w:szCs w:val="36"/>
                    </w:rPr>
                  </w:pPr>
                  <w:proofErr w:type="spellStart"/>
                  <w:r w:rsidRPr="004B250B">
                    <w:rPr>
                      <w:rFonts w:ascii="Cambria" w:hAnsi="Cambria"/>
                      <w:b/>
                      <w:color w:val="17365D"/>
                      <w:sz w:val="36"/>
                      <w:szCs w:val="36"/>
                    </w:rPr>
                    <w:t>Bursatra</w:t>
                  </w:r>
                  <w:proofErr w:type="spellEnd"/>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2F5951"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B312EC" w:rsidRDefault="00F61EAE" w:rsidP="0052403E">
      <w:pPr>
        <w:ind w:left="-448"/>
        <w:jc w:val="both"/>
        <w:rPr>
          <w:rFonts w:asciiTheme="minorHAnsi" w:hAnsiTheme="minorHAnsi"/>
        </w:rPr>
      </w:pPr>
      <w:r w:rsidRPr="00F61EAE">
        <w:rPr>
          <w:rFonts w:asciiTheme="minorHAnsi" w:hAnsiTheme="minorHAnsi"/>
        </w:rPr>
        <w:t>Companies today are actively exploring and pursuing M&amp;A exercises; as such Independent Directors are required to understand M&amp;A activities in order to support the Board’s decision-making process effectively. As any badly executed merger and acquisition exercise can have a major financial impact on the Company’s going concern assumption. In deciding which merger or acquisitions will create shareholder value depends on the rigor and quality of due diligence performed on the transaction. Board members must understand the approach to due diligence goes above and beyond traditional accounting and financial analysis to assess the key assumptions underlying the deal.</w:t>
      </w:r>
    </w:p>
    <w:p w:rsidR="00F61EAE" w:rsidRDefault="00F61EAE" w:rsidP="0052403E">
      <w:pPr>
        <w:ind w:left="-448"/>
        <w:jc w:val="both"/>
        <w:rPr>
          <w:rFonts w:asciiTheme="minorHAnsi" w:hAnsiTheme="minorHAnsi"/>
        </w:rPr>
      </w:pPr>
    </w:p>
    <w:p w:rsidR="003F6F40" w:rsidRPr="00B26841" w:rsidRDefault="002F5951"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F61EAE" w:rsidRPr="00F61EAE" w:rsidRDefault="00F61EAE" w:rsidP="00F61EAE">
      <w:pPr>
        <w:ind w:left="-425"/>
        <w:jc w:val="both"/>
        <w:rPr>
          <w:rFonts w:asciiTheme="minorHAnsi" w:eastAsia="SimSun" w:hAnsiTheme="minorHAnsi"/>
          <w:szCs w:val="22"/>
          <w:lang w:val="en-US" w:eastAsia="zh-CN"/>
        </w:rPr>
      </w:pPr>
      <w:r w:rsidRPr="00F61EAE">
        <w:rPr>
          <w:rFonts w:asciiTheme="minorHAnsi" w:hAnsiTheme="minorHAnsi"/>
        </w:rPr>
        <w:t>This comprehensive course updates participants in order to:-</w:t>
      </w:r>
    </w:p>
    <w:p w:rsidR="00BB37B7" w:rsidRPr="00BB37B7" w:rsidRDefault="00BB37B7" w:rsidP="00BB37B7">
      <w:pPr>
        <w:pStyle w:val="ListParagraph"/>
        <w:numPr>
          <w:ilvl w:val="0"/>
          <w:numId w:val="16"/>
        </w:numPr>
        <w:ind w:left="-90"/>
        <w:jc w:val="both"/>
        <w:rPr>
          <w:rFonts w:asciiTheme="minorHAnsi" w:hAnsiTheme="minorHAnsi"/>
        </w:rPr>
      </w:pPr>
      <w:r w:rsidRPr="00BB37B7">
        <w:rPr>
          <w:rFonts w:asciiTheme="minorHAnsi" w:hAnsiTheme="minorHAnsi"/>
        </w:rPr>
        <w:t>formulate successful game plan to initiate the merger or acquisition process,</w:t>
      </w:r>
    </w:p>
    <w:p w:rsidR="00BB37B7" w:rsidRPr="00BB37B7" w:rsidRDefault="00BB37B7" w:rsidP="00BB37B7">
      <w:pPr>
        <w:pStyle w:val="ListParagraph"/>
        <w:numPr>
          <w:ilvl w:val="0"/>
          <w:numId w:val="16"/>
        </w:numPr>
        <w:ind w:left="-90"/>
        <w:jc w:val="both"/>
        <w:rPr>
          <w:rFonts w:asciiTheme="minorHAnsi" w:hAnsiTheme="minorHAnsi"/>
        </w:rPr>
      </w:pPr>
      <w:r w:rsidRPr="00BB37B7">
        <w:rPr>
          <w:rFonts w:asciiTheme="minorHAnsi" w:hAnsiTheme="minorHAnsi"/>
        </w:rPr>
        <w:t>gain a deeper insight of the target company by conducting due diligence exercise as a platform to negotiate deal terms,</w:t>
      </w:r>
    </w:p>
    <w:p w:rsidR="00BB37B7" w:rsidRPr="00BB37B7" w:rsidRDefault="00BB37B7" w:rsidP="00BB37B7">
      <w:pPr>
        <w:pStyle w:val="ListParagraph"/>
        <w:numPr>
          <w:ilvl w:val="0"/>
          <w:numId w:val="16"/>
        </w:numPr>
        <w:ind w:left="-90"/>
        <w:jc w:val="both"/>
        <w:rPr>
          <w:rFonts w:asciiTheme="minorHAnsi" w:hAnsiTheme="minorHAnsi"/>
        </w:rPr>
      </w:pPr>
      <w:r w:rsidRPr="00BB37B7">
        <w:rPr>
          <w:rFonts w:asciiTheme="minorHAnsi" w:hAnsiTheme="minorHAnsi"/>
        </w:rPr>
        <w:t>prepare a communication strategy, and</w:t>
      </w:r>
    </w:p>
    <w:p w:rsidR="00F61EAE" w:rsidRPr="00BB37B7" w:rsidRDefault="00BB37B7" w:rsidP="00BB37B7">
      <w:pPr>
        <w:pStyle w:val="ListParagraph"/>
        <w:numPr>
          <w:ilvl w:val="0"/>
          <w:numId w:val="16"/>
        </w:numPr>
        <w:ind w:left="-90"/>
        <w:jc w:val="both"/>
        <w:rPr>
          <w:rFonts w:asciiTheme="minorHAnsi" w:hAnsiTheme="minorHAnsi"/>
        </w:rPr>
      </w:pPr>
      <w:r w:rsidRPr="00BB37B7">
        <w:rPr>
          <w:rFonts w:asciiTheme="minorHAnsi" w:hAnsiTheme="minorHAnsi"/>
        </w:rPr>
        <w:t>plan the post-acquisition integration framework</w:t>
      </w:r>
    </w:p>
    <w:p w:rsidR="00CB6394" w:rsidRDefault="002F5951" w:rsidP="00AE6D93">
      <w:pPr>
        <w:ind w:left="-450"/>
        <w:rPr>
          <w:rFonts w:asciiTheme="minorHAnsi" w:hAnsiTheme="minorHAnsi"/>
        </w:rPr>
      </w:pPr>
      <w:r>
        <w:rPr>
          <w:rFonts w:asciiTheme="minorHAnsi" w:hAnsiTheme="minorHAnsi"/>
          <w:noProof/>
          <w:lang w:val="en-US"/>
        </w:rPr>
        <w:pict>
          <v:roundrect id="_x0000_s1049" style="position:absolute;left:0;text-align:left;margin-left:-29.6pt;margin-top:3.6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p>
    <w:p w:rsidR="00CB6394" w:rsidRDefault="00CB6394" w:rsidP="00AE6D93">
      <w:pPr>
        <w:ind w:left="-450"/>
        <w:rPr>
          <w:rFonts w:asciiTheme="minorHAnsi" w:hAnsiTheme="minorHAnsi"/>
        </w:rPr>
      </w:pPr>
    </w:p>
    <w:p w:rsidR="00CB6394" w:rsidRDefault="00CB6394" w:rsidP="00AE6D93">
      <w:pPr>
        <w:ind w:left="-450"/>
        <w:rPr>
          <w:rFonts w:asciiTheme="minorHAnsi" w:hAnsiTheme="minorHAnsi"/>
        </w:rPr>
      </w:pPr>
    </w:p>
    <w:p w:rsidR="00BB37B7" w:rsidRPr="00BB37B7" w:rsidRDefault="00BB37B7" w:rsidP="00BB37B7">
      <w:pPr>
        <w:pStyle w:val="ListParagraph"/>
        <w:numPr>
          <w:ilvl w:val="0"/>
          <w:numId w:val="15"/>
        </w:numPr>
        <w:spacing w:after="0" w:line="240" w:lineRule="auto"/>
        <w:ind w:left="-90" w:hanging="356"/>
        <w:jc w:val="both"/>
        <w:rPr>
          <w:rFonts w:asciiTheme="minorHAnsi" w:hAnsiTheme="minorHAnsi"/>
        </w:rPr>
      </w:pPr>
      <w:r w:rsidRPr="00BB37B7">
        <w:rPr>
          <w:rFonts w:asciiTheme="minorHAnsi" w:hAnsiTheme="minorHAnsi"/>
        </w:rPr>
        <w:t>Why Mergers &amp; Acquisitions Is An Important  Business Sustainability Strategy Tool</w:t>
      </w:r>
    </w:p>
    <w:p w:rsidR="00BB37B7" w:rsidRPr="00BB37B7" w:rsidRDefault="00BB37B7" w:rsidP="00BB37B7">
      <w:pPr>
        <w:pStyle w:val="ListParagraph"/>
        <w:numPr>
          <w:ilvl w:val="0"/>
          <w:numId w:val="15"/>
        </w:numPr>
        <w:spacing w:after="0" w:line="240" w:lineRule="auto"/>
        <w:ind w:left="-90" w:hanging="356"/>
        <w:jc w:val="both"/>
        <w:rPr>
          <w:rFonts w:asciiTheme="minorHAnsi" w:hAnsiTheme="minorHAnsi"/>
        </w:rPr>
      </w:pPr>
      <w:r w:rsidRPr="00BB37B7">
        <w:rPr>
          <w:rFonts w:asciiTheme="minorHAnsi" w:hAnsiTheme="minorHAnsi"/>
        </w:rPr>
        <w:t>What Are The Key Considerations In Identifying The Target Company</w:t>
      </w:r>
    </w:p>
    <w:p w:rsidR="00BB37B7" w:rsidRPr="00BB37B7" w:rsidRDefault="00BB37B7" w:rsidP="00BB37B7">
      <w:pPr>
        <w:pStyle w:val="ListParagraph"/>
        <w:numPr>
          <w:ilvl w:val="0"/>
          <w:numId w:val="15"/>
        </w:numPr>
        <w:spacing w:after="0" w:line="240" w:lineRule="auto"/>
        <w:ind w:left="-90" w:hanging="356"/>
        <w:jc w:val="both"/>
        <w:rPr>
          <w:rFonts w:asciiTheme="minorHAnsi" w:hAnsiTheme="minorHAnsi"/>
        </w:rPr>
      </w:pPr>
      <w:r w:rsidRPr="00BB37B7">
        <w:rPr>
          <w:rFonts w:asciiTheme="minorHAnsi" w:hAnsiTheme="minorHAnsi"/>
        </w:rPr>
        <w:t xml:space="preserve">How To Structure &amp; Negotiate On The Transaction </w:t>
      </w:r>
    </w:p>
    <w:p w:rsidR="00BB37B7" w:rsidRPr="00BB37B7" w:rsidRDefault="00BB37B7" w:rsidP="00BB37B7">
      <w:pPr>
        <w:pStyle w:val="ListParagraph"/>
        <w:numPr>
          <w:ilvl w:val="0"/>
          <w:numId w:val="15"/>
        </w:numPr>
        <w:spacing w:after="0" w:line="240" w:lineRule="auto"/>
        <w:ind w:left="-90" w:hanging="356"/>
        <w:jc w:val="both"/>
        <w:rPr>
          <w:rFonts w:asciiTheme="minorHAnsi" w:hAnsiTheme="minorHAnsi"/>
        </w:rPr>
      </w:pPr>
      <w:r w:rsidRPr="00BB37B7">
        <w:rPr>
          <w:rFonts w:asciiTheme="minorHAnsi" w:hAnsiTheme="minorHAnsi"/>
        </w:rPr>
        <w:t>What Are The Contingency &amp; Integration Plan To Manage Post Acquisition Process</w:t>
      </w:r>
    </w:p>
    <w:p w:rsidR="00BB37B7" w:rsidRPr="00BB37B7" w:rsidRDefault="00BB37B7" w:rsidP="00BB37B7">
      <w:pPr>
        <w:pStyle w:val="ListParagraph"/>
        <w:numPr>
          <w:ilvl w:val="0"/>
          <w:numId w:val="15"/>
        </w:numPr>
        <w:spacing w:after="0" w:line="240" w:lineRule="auto"/>
        <w:ind w:left="-90" w:hanging="356"/>
        <w:jc w:val="both"/>
        <w:rPr>
          <w:rFonts w:asciiTheme="minorHAnsi" w:hAnsiTheme="minorHAnsi"/>
        </w:rPr>
      </w:pPr>
      <w:r w:rsidRPr="00BB37B7">
        <w:rPr>
          <w:rFonts w:asciiTheme="minorHAnsi" w:hAnsiTheme="minorHAnsi"/>
        </w:rPr>
        <w:t>How To Identify Areas On Operating Efficiency &amp; Margin Enhancement</w:t>
      </w:r>
    </w:p>
    <w:p w:rsidR="00BB37B7" w:rsidRDefault="00BB37B7" w:rsidP="00AE6D93">
      <w:pPr>
        <w:ind w:left="-450"/>
        <w:rPr>
          <w:rFonts w:asciiTheme="minorHAnsi" w:hAnsiTheme="minorHAnsi"/>
        </w:rPr>
      </w:pPr>
    </w:p>
    <w:p w:rsidR="001A500C" w:rsidRDefault="001A500C" w:rsidP="00AE6D93">
      <w:pPr>
        <w:ind w:left="-450"/>
        <w:rPr>
          <w:rFonts w:asciiTheme="minorHAnsi" w:hAnsiTheme="minorHAnsi"/>
        </w:rPr>
      </w:pPr>
    </w:p>
    <w:p w:rsidR="001A500C" w:rsidRDefault="002F5951" w:rsidP="00AE6D93">
      <w:pPr>
        <w:ind w:left="-450"/>
        <w:rPr>
          <w:rFonts w:asciiTheme="minorHAnsi" w:hAnsiTheme="minorHAnsi"/>
        </w:rPr>
      </w:pPr>
      <w:r>
        <w:rPr>
          <w:rFonts w:asciiTheme="minorHAnsi" w:hAnsiTheme="minorHAnsi"/>
          <w:noProof/>
          <w:lang w:val="en-US"/>
        </w:rPr>
        <w:lastRenderedPageBreak/>
        <w:pict>
          <v:roundrect id="_x0000_s1063" style="position:absolute;left:0;text-align:left;margin-left:-8.2pt;margin-top:5.8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A500C" w:rsidRDefault="001A500C" w:rsidP="00AE6D93">
      <w:pPr>
        <w:ind w:left="-450"/>
        <w:rPr>
          <w:rFonts w:asciiTheme="minorHAnsi" w:hAnsiTheme="minorHAnsi"/>
        </w:rPr>
      </w:pPr>
    </w:p>
    <w:p w:rsidR="0052403E" w:rsidRDefault="0052403E" w:rsidP="00AE6D93">
      <w:pPr>
        <w:ind w:left="-450"/>
        <w:rPr>
          <w:rFonts w:asciiTheme="minorHAnsi" w:hAnsiTheme="minorHAnsi"/>
        </w:rPr>
      </w:pPr>
    </w:p>
    <w:p w:rsidR="003F6F40" w:rsidRDefault="00374C5A" w:rsidP="00374C5A">
      <w:pPr>
        <w:jc w:val="both"/>
        <w:rPr>
          <w:rFonts w:asciiTheme="minorHAnsi" w:hAnsiTheme="minorHAnsi"/>
        </w:rPr>
      </w:pPr>
      <w:r w:rsidRPr="00374C5A">
        <w:rPr>
          <w:rFonts w:asciiTheme="minorHAnsi" w:hAnsiTheme="minorHAnsi"/>
        </w:rPr>
        <w:t>Audit Committee Members / Company Directors / Chief Executive Officers / Chief Financial Officers / Chief Compliance Officers / Company Secretaries / Investor Relations Officers / Auditors / Accountants and those who are assisting in the preparation of Annual Reports and corporate disclosures.</w:t>
      </w:r>
    </w:p>
    <w:p w:rsidR="00374C5A" w:rsidRDefault="00374C5A" w:rsidP="003F6F40">
      <w:pPr>
        <w:rPr>
          <w:rFonts w:asciiTheme="minorHAnsi" w:hAnsiTheme="minorHAnsi"/>
        </w:rPr>
      </w:pPr>
    </w:p>
    <w:p w:rsidR="003F6F40" w:rsidRPr="00B26841" w:rsidRDefault="002F5951" w:rsidP="003F6F40">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2F5951">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BB37B7" w:rsidP="00BB37B7">
            <w:pPr>
              <w:ind w:right="308"/>
              <w:jc w:val="both"/>
              <w:rPr>
                <w:rFonts w:asciiTheme="minorHAnsi" w:hAnsiTheme="minorHAnsi" w:cs="Segoe UI Semibold"/>
                <w:sz w:val="20"/>
              </w:rPr>
            </w:pPr>
            <w:r>
              <w:rPr>
                <w:rFonts w:asciiTheme="minorHAnsi" w:hAnsiTheme="minorHAnsi" w:cs="Segoe UI Semibold"/>
                <w:sz w:val="20"/>
              </w:rPr>
              <w:t>11</w:t>
            </w:r>
            <w:r w:rsidR="007757BC">
              <w:rPr>
                <w:rFonts w:asciiTheme="minorHAnsi" w:hAnsiTheme="minorHAnsi" w:cs="Segoe UI Semibold"/>
                <w:sz w:val="20"/>
              </w:rPr>
              <w:t xml:space="preserve"> Mar / </w:t>
            </w:r>
            <w:r>
              <w:rPr>
                <w:rFonts w:asciiTheme="minorHAnsi" w:hAnsiTheme="minorHAnsi" w:cs="Segoe UI Semibold"/>
                <w:sz w:val="20"/>
              </w:rPr>
              <w:t>15</w:t>
            </w:r>
            <w:r w:rsidR="007757BC">
              <w:rPr>
                <w:rFonts w:asciiTheme="minorHAnsi" w:hAnsiTheme="minorHAnsi" w:cs="Segoe UI Semibold"/>
                <w:sz w:val="20"/>
              </w:rPr>
              <w:t xml:space="preserve"> Apr / </w:t>
            </w:r>
            <w:r>
              <w:rPr>
                <w:rFonts w:asciiTheme="minorHAnsi" w:hAnsiTheme="minorHAnsi" w:cs="Segoe UI Semibold"/>
                <w:sz w:val="20"/>
              </w:rPr>
              <w:t>10</w:t>
            </w:r>
            <w:r w:rsidR="007757BC">
              <w:rPr>
                <w:rFonts w:asciiTheme="minorHAnsi" w:hAnsiTheme="minorHAnsi" w:cs="Segoe UI Semibold"/>
                <w:sz w:val="20"/>
              </w:rPr>
              <w:t xml:space="preserve"> Jun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RM</w:t>
            </w:r>
            <w:r w:rsidR="007757BC">
              <w:rPr>
                <w:rFonts w:asciiTheme="minorHAnsi" w:hAnsiTheme="minorHAnsi" w:cs="Segoe UI Semibold"/>
                <w:sz w:val="20"/>
              </w:rPr>
              <w:t>932.80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7757BC">
              <w:rPr>
                <w:rFonts w:asciiTheme="minorHAnsi" w:hAnsiTheme="minorHAnsi" w:cs="Segoe UI Semibold"/>
                <w:bCs/>
                <w:sz w:val="20"/>
              </w:rPr>
              <w:t>Fee is inclusive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2F5951">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7A3D96" w:rsidRDefault="007A3D96">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52403E" w:rsidRDefault="0052403E">
      <w:pPr>
        <w:rPr>
          <w:rFonts w:asciiTheme="minorHAnsi" w:hAnsiTheme="minorHAnsi"/>
        </w:rPr>
      </w:pPr>
    </w:p>
    <w:p w:rsidR="001A500C" w:rsidRDefault="001A500C">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52403E" w:rsidRDefault="0052403E">
      <w:pPr>
        <w:rPr>
          <w:rFonts w:asciiTheme="minorHAnsi" w:hAnsiTheme="minorHAnsi"/>
        </w:rPr>
      </w:pPr>
    </w:p>
    <w:p w:rsidR="00374C5A" w:rsidRDefault="00374C5A">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Default="00BB37B7">
      <w:pPr>
        <w:rPr>
          <w:rFonts w:asciiTheme="minorHAnsi" w:hAnsiTheme="minorHAnsi"/>
        </w:rPr>
      </w:pPr>
    </w:p>
    <w:p w:rsidR="00BB37B7" w:rsidRPr="00B26841" w:rsidRDefault="00BB37B7">
      <w:pPr>
        <w:rPr>
          <w:rFonts w:asciiTheme="minorHAnsi" w:hAnsiTheme="minorHAnsi"/>
        </w:rPr>
        <w:sectPr w:rsidR="00BB37B7" w:rsidRPr="00B26841" w:rsidSect="004C3B41">
          <w:type w:val="continuous"/>
          <w:pgSz w:w="11906" w:h="16838" w:code="9"/>
          <w:pgMar w:top="1440" w:right="1440" w:bottom="1440" w:left="1440" w:header="0" w:footer="0" w:gutter="0"/>
          <w:cols w:num="2" w:sep="1" w:space="720"/>
          <w:titlePg/>
          <w:docGrid w:linePitch="299"/>
        </w:sectPr>
      </w:pP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2F5951"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PRESENTER’S PROFILE</w:t>
                  </w:r>
                </w:p>
              </w:txbxContent>
            </v:textbox>
          </v:roundrect>
        </w:pict>
      </w:r>
    </w:p>
    <w:p w:rsidR="00D90843" w:rsidRPr="00D90843" w:rsidRDefault="00D90843" w:rsidP="00D90843">
      <w:pPr>
        <w:rPr>
          <w:rFonts w:asciiTheme="minorHAnsi" w:hAnsiTheme="minorHAnsi"/>
        </w:rPr>
      </w:pPr>
    </w:p>
    <w:p w:rsidR="00D90843" w:rsidRPr="00D90843" w:rsidRDefault="00D90843"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w:t>
      </w:r>
      <w:proofErr w:type="spellStart"/>
      <w:r w:rsidRPr="00C248F9">
        <w:rPr>
          <w:rFonts w:asciiTheme="minorHAnsi" w:hAnsiTheme="minorHAnsi"/>
          <w:szCs w:val="22"/>
        </w:rPr>
        <w:t>Bhd</w:t>
      </w:r>
      <w:proofErr w:type="spellEnd"/>
      <w:r w:rsidRPr="00C248F9">
        <w:rPr>
          <w:rFonts w:asciiTheme="minorHAnsi" w:hAnsiTheme="minorHAnsi"/>
          <w:szCs w:val="22"/>
        </w:rPr>
        <w:t xml:space="preserve">, Green Packet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Gadang</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w:t>
      </w:r>
      <w:proofErr w:type="spellStart"/>
      <w:r w:rsidRPr="00C248F9">
        <w:rPr>
          <w:rFonts w:asciiTheme="minorHAnsi" w:hAnsiTheme="minorHAnsi"/>
          <w:szCs w:val="22"/>
        </w:rPr>
        <w:t>Censof</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Bhd</w:t>
      </w:r>
      <w:proofErr w:type="spellEnd"/>
      <w:r w:rsidRPr="00C248F9">
        <w:rPr>
          <w:rFonts w:asciiTheme="minorHAnsi" w:hAnsiTheme="minorHAnsi"/>
          <w:szCs w:val="22"/>
        </w:rPr>
        <w:t xml:space="preserve"> and Ho </w:t>
      </w:r>
      <w:proofErr w:type="spellStart"/>
      <w:r w:rsidRPr="00C248F9">
        <w:rPr>
          <w:rFonts w:asciiTheme="minorHAnsi" w:hAnsiTheme="minorHAnsi"/>
          <w:szCs w:val="22"/>
        </w:rPr>
        <w:t>Hup</w:t>
      </w:r>
      <w:proofErr w:type="spellEnd"/>
      <w:r w:rsidRPr="00C248F9">
        <w:rPr>
          <w:rFonts w:asciiTheme="minorHAnsi" w:hAnsiTheme="minorHAnsi"/>
          <w:szCs w:val="22"/>
        </w:rPr>
        <w:t xml:space="preserve"> Construction Company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Past directorships in listed entities include IJM Land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Sanbumi</w:t>
      </w:r>
      <w:proofErr w:type="spellEnd"/>
      <w:r w:rsidRPr="00C248F9">
        <w:rPr>
          <w:rFonts w:asciiTheme="minorHAnsi" w:hAnsiTheme="minorHAnsi"/>
          <w:szCs w:val="22"/>
        </w:rPr>
        <w:t xml:space="preserve"> Holdings </w:t>
      </w:r>
      <w:proofErr w:type="spellStart"/>
      <w:r w:rsidRPr="00C248F9">
        <w:rPr>
          <w:rFonts w:asciiTheme="minorHAnsi" w:hAnsiTheme="minorHAnsi"/>
          <w:szCs w:val="22"/>
        </w:rPr>
        <w:t>Berhad</w:t>
      </w:r>
      <w:proofErr w:type="spellEnd"/>
      <w:r w:rsidRPr="00C248F9">
        <w:rPr>
          <w:rFonts w:asciiTheme="minorHAnsi" w:hAnsiTheme="minorHAnsi"/>
          <w:szCs w:val="22"/>
        </w:rPr>
        <w:t xml:space="preserve">, </w:t>
      </w:r>
      <w:proofErr w:type="spellStart"/>
      <w:r w:rsidRPr="00C248F9">
        <w:rPr>
          <w:rFonts w:asciiTheme="minorHAnsi" w:hAnsiTheme="minorHAnsi"/>
          <w:szCs w:val="22"/>
        </w:rPr>
        <w:t>Omesti</w:t>
      </w:r>
      <w:proofErr w:type="spellEnd"/>
      <w:r w:rsidRPr="00C248F9">
        <w:rPr>
          <w:rFonts w:asciiTheme="minorHAnsi" w:hAnsiTheme="minorHAnsi"/>
          <w:szCs w:val="22"/>
        </w:rPr>
        <w:t xml:space="preserve"> </w:t>
      </w:r>
      <w:proofErr w:type="spellStart"/>
      <w:r w:rsidRPr="00C248F9">
        <w:rPr>
          <w:rFonts w:asciiTheme="minorHAnsi" w:hAnsiTheme="minorHAnsi"/>
          <w:szCs w:val="22"/>
        </w:rPr>
        <w:t>Berahd</w:t>
      </w:r>
      <w:proofErr w:type="spellEnd"/>
      <w:r w:rsidRPr="00C248F9">
        <w:rPr>
          <w:rFonts w:asciiTheme="minorHAnsi" w:hAnsiTheme="minorHAnsi"/>
          <w:szCs w:val="22"/>
        </w:rPr>
        <w:t xml:space="preserve"> and </w:t>
      </w:r>
      <w:proofErr w:type="spellStart"/>
      <w:r w:rsidRPr="00C248F9">
        <w:rPr>
          <w:rFonts w:asciiTheme="minorHAnsi" w:hAnsiTheme="minorHAnsi"/>
          <w:szCs w:val="22"/>
        </w:rPr>
        <w:t>Permaju</w:t>
      </w:r>
      <w:proofErr w:type="spellEnd"/>
      <w:r w:rsidRPr="00C248F9">
        <w:rPr>
          <w:rFonts w:asciiTheme="minorHAnsi" w:hAnsiTheme="minorHAnsi"/>
          <w:szCs w:val="22"/>
        </w:rPr>
        <w:t xml:space="preserve"> Industries </w:t>
      </w:r>
      <w:proofErr w:type="spellStart"/>
      <w:r w:rsidRPr="00C248F9">
        <w:rPr>
          <w:rFonts w:asciiTheme="minorHAnsi" w:hAnsiTheme="minorHAnsi"/>
          <w:szCs w:val="22"/>
        </w:rPr>
        <w:t>Berhad</w:t>
      </w:r>
      <w:proofErr w:type="spellEnd"/>
      <w:r w:rsidRPr="00C248F9">
        <w:rPr>
          <w:rFonts w:asciiTheme="minorHAnsi" w:hAnsiTheme="minorHAnsi"/>
          <w:szCs w:val="22"/>
        </w:rPr>
        <w:t>.</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p w:rsidR="00BB37B7" w:rsidRDefault="00BB37B7" w:rsidP="00BB37B7">
      <w:pPr>
        <w:jc w:val="center"/>
        <w:rPr>
          <w:rFonts w:asciiTheme="minorHAnsi" w:eastAsiaTheme="majorEastAsia" w:hAnsiTheme="minorHAnsi" w:cstheme="majorBidi"/>
          <w:b/>
          <w:bCs/>
          <w:color w:val="365F91" w:themeColor="accent1" w:themeShade="BF"/>
          <w:sz w:val="28"/>
          <w:szCs w:val="28"/>
        </w:rPr>
      </w:pPr>
      <w:r w:rsidRPr="00BB37B7">
        <w:rPr>
          <w:rFonts w:asciiTheme="minorHAnsi" w:eastAsiaTheme="majorEastAsia" w:hAnsiTheme="minorHAnsi" w:cstheme="majorBidi"/>
          <w:b/>
          <w:bCs/>
          <w:color w:val="365F91" w:themeColor="accent1" w:themeShade="BF"/>
          <w:sz w:val="28"/>
          <w:szCs w:val="28"/>
        </w:rPr>
        <w:t xml:space="preserve">INDEPENDENT DIRECTOR ROLE IN FACILITATING EFFECTIVE </w:t>
      </w:r>
      <w:proofErr w:type="gramStart"/>
      <w:r w:rsidRPr="00BB37B7">
        <w:rPr>
          <w:rFonts w:asciiTheme="minorHAnsi" w:eastAsiaTheme="majorEastAsia" w:hAnsiTheme="minorHAnsi" w:cstheme="majorBidi"/>
          <w:b/>
          <w:bCs/>
          <w:color w:val="365F91" w:themeColor="accent1" w:themeShade="BF"/>
          <w:sz w:val="28"/>
          <w:szCs w:val="28"/>
        </w:rPr>
        <w:t>MERGERS  &amp;</w:t>
      </w:r>
      <w:proofErr w:type="gramEnd"/>
      <w:r w:rsidRPr="00BB37B7">
        <w:rPr>
          <w:rFonts w:asciiTheme="minorHAnsi" w:eastAsiaTheme="majorEastAsia" w:hAnsiTheme="minorHAnsi" w:cstheme="majorBidi"/>
          <w:b/>
          <w:bCs/>
          <w:color w:val="365F91" w:themeColor="accent1" w:themeShade="BF"/>
          <w:sz w:val="28"/>
          <w:szCs w:val="28"/>
        </w:rPr>
        <w:t xml:space="preserve"> ACQUISITIONS (M&amp;A) ACTIVITIES</w:t>
      </w:r>
    </w:p>
    <w:p w:rsidR="00BB37B7" w:rsidRDefault="00BB37B7" w:rsidP="00BB37B7">
      <w:pPr>
        <w:jc w:val="center"/>
        <w:rPr>
          <w:rFonts w:asciiTheme="minorHAnsi" w:eastAsiaTheme="majorEastAsia" w:hAnsiTheme="minorHAnsi" w:cstheme="majorBidi"/>
          <w:b/>
          <w:bCs/>
          <w:color w:val="365F91" w:themeColor="accent1" w:themeShade="BF"/>
          <w:sz w:val="28"/>
          <w:szCs w:val="28"/>
        </w:rPr>
      </w:pPr>
      <w:r>
        <w:rPr>
          <w:rFonts w:asciiTheme="minorHAnsi" w:eastAsiaTheme="majorEastAsia" w:hAnsiTheme="minorHAnsi" w:cstheme="majorBidi"/>
          <w:b/>
          <w:bCs/>
          <w:color w:val="365F91" w:themeColor="accent1" w:themeShade="BF"/>
          <w:sz w:val="28"/>
          <w:szCs w:val="28"/>
        </w:rPr>
        <w:t xml:space="preserve"> - </w:t>
      </w:r>
      <w:r w:rsidRPr="00BB37B7">
        <w:rPr>
          <w:rFonts w:asciiTheme="minorHAnsi" w:eastAsiaTheme="majorEastAsia" w:hAnsiTheme="minorHAnsi" w:cstheme="majorBidi"/>
          <w:b/>
          <w:bCs/>
          <w:color w:val="365F91" w:themeColor="accent1" w:themeShade="BF"/>
          <w:sz w:val="28"/>
          <w:szCs w:val="28"/>
        </w:rPr>
        <w:t>Doing It Right For Positive Impact</w:t>
      </w:r>
    </w:p>
    <w:p w:rsidR="00BB37B7" w:rsidRDefault="00BB37B7" w:rsidP="00BB37B7">
      <w:pPr>
        <w:jc w:val="center"/>
        <w:rPr>
          <w:rFonts w:asciiTheme="minorHAnsi" w:eastAsiaTheme="majorEastAsia" w:hAnsiTheme="minorHAnsi" w:cstheme="majorBidi"/>
          <w:b/>
          <w:bCs/>
          <w:color w:val="365F91" w:themeColor="accent1" w:themeShade="BF"/>
          <w:sz w:val="28"/>
          <w:szCs w:val="28"/>
        </w:rPr>
      </w:pPr>
    </w:p>
    <w:p w:rsidR="000D57B6" w:rsidRDefault="000D57B6" w:rsidP="00BB37B7">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2F5951">
      <w:pPr>
        <w:rPr>
          <w:rFonts w:asciiTheme="minorHAnsi" w:hAnsiTheme="minorHAnsi"/>
          <w:sz w:val="24"/>
          <w:szCs w:val="24"/>
        </w:rPr>
      </w:pPr>
      <w:r w:rsidRPr="002F5951">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567"/>
        <w:gridCol w:w="1521"/>
        <w:gridCol w:w="540"/>
        <w:gridCol w:w="1710"/>
        <w:gridCol w:w="450"/>
        <w:gridCol w:w="3309"/>
      </w:tblGrid>
      <w:tr w:rsidR="00E76169" w:rsidRPr="00E76169" w:rsidTr="00C248F9">
        <w:tc>
          <w:tcPr>
            <w:tcW w:w="567" w:type="dxa"/>
          </w:tcPr>
          <w:p w:rsidR="00E76169" w:rsidRPr="00E76169" w:rsidRDefault="002F5951" w:rsidP="007757BC">
            <w:pPr>
              <w:rPr>
                <w:rFonts w:asciiTheme="minorHAnsi" w:hAnsiTheme="minorHAnsi"/>
                <w:sz w:val="24"/>
                <w:szCs w:val="24"/>
                <w:lang w:val="en-US"/>
              </w:rPr>
            </w:pPr>
            <w:r>
              <w:rPr>
                <w:rFonts w:asciiTheme="minorHAnsi" w:hAnsiTheme="minorHAnsi"/>
                <w:noProof/>
                <w:sz w:val="24"/>
                <w:szCs w:val="24"/>
                <w:lang w:val="en-US"/>
              </w:rPr>
              <w:pict>
                <v:rect id="_x0000_s1053" style="position:absolute;margin-left:2.4pt;margin-top:.65pt;width:10.65pt;height:10.05pt;z-index:251653120;mso-position-vertical-relative:margin">
                  <v:shadow on="t" offset=",3pt" offset2=",2pt"/>
                  <w10:wrap anchory="margin"/>
                </v:rect>
              </w:pict>
            </w:r>
          </w:p>
        </w:tc>
        <w:tc>
          <w:tcPr>
            <w:tcW w:w="1521" w:type="dxa"/>
          </w:tcPr>
          <w:p w:rsidR="00E76169" w:rsidRPr="00E76169" w:rsidRDefault="00BB37B7" w:rsidP="001A500C">
            <w:pPr>
              <w:rPr>
                <w:rFonts w:asciiTheme="minorHAnsi" w:hAnsiTheme="minorHAnsi"/>
                <w:sz w:val="24"/>
                <w:szCs w:val="24"/>
                <w:lang w:val="en-US"/>
              </w:rPr>
            </w:pPr>
            <w:r>
              <w:rPr>
                <w:rFonts w:asciiTheme="minorHAnsi" w:hAnsiTheme="minorHAnsi"/>
                <w:sz w:val="24"/>
                <w:szCs w:val="24"/>
                <w:lang w:val="en-US"/>
              </w:rPr>
              <w:t>11</w:t>
            </w:r>
            <w:r w:rsidR="004E6547">
              <w:rPr>
                <w:rFonts w:asciiTheme="minorHAnsi" w:hAnsiTheme="minorHAnsi"/>
                <w:sz w:val="24"/>
                <w:szCs w:val="24"/>
                <w:lang w:val="en-US"/>
              </w:rPr>
              <w:t xml:space="preserve"> </w:t>
            </w:r>
            <w:r w:rsidR="007757BC">
              <w:rPr>
                <w:rFonts w:asciiTheme="minorHAnsi" w:hAnsiTheme="minorHAnsi"/>
                <w:sz w:val="24"/>
                <w:szCs w:val="24"/>
                <w:lang w:val="en-US"/>
              </w:rPr>
              <w:t>Mar</w:t>
            </w:r>
          </w:p>
        </w:tc>
        <w:tc>
          <w:tcPr>
            <w:tcW w:w="540" w:type="dxa"/>
          </w:tcPr>
          <w:p w:rsidR="00E76169" w:rsidRPr="00E76169" w:rsidRDefault="002F5951" w:rsidP="007757BC">
            <w:pPr>
              <w:rPr>
                <w:rFonts w:asciiTheme="minorHAnsi" w:hAnsiTheme="minorHAnsi"/>
                <w:sz w:val="24"/>
                <w:szCs w:val="24"/>
                <w:lang w:val="en-US"/>
              </w:rPr>
            </w:pPr>
            <w:r>
              <w:rPr>
                <w:rFonts w:asciiTheme="minorHAnsi" w:hAnsiTheme="minorHAnsi"/>
                <w:noProof/>
                <w:sz w:val="24"/>
                <w:szCs w:val="24"/>
                <w:lang w:val="en-US"/>
              </w:rPr>
              <w:pict>
                <v:rect id="_x0000_s1054" style="position:absolute;margin-left:2.75pt;margin-top:.65pt;width:10.65pt;height:10.05pt;z-index:251654144;mso-position-horizontal-relative:text;mso-position-vertical-relative:margin">
                  <v:shadow on="t" offset=",3pt" offset2=",2pt"/>
                  <w10:wrap anchory="margin"/>
                </v:rect>
              </w:pict>
            </w:r>
          </w:p>
        </w:tc>
        <w:tc>
          <w:tcPr>
            <w:tcW w:w="1710" w:type="dxa"/>
          </w:tcPr>
          <w:p w:rsidR="00E76169" w:rsidRPr="00E76169" w:rsidRDefault="00BB37B7" w:rsidP="00F7475B">
            <w:pPr>
              <w:rPr>
                <w:rFonts w:asciiTheme="minorHAnsi" w:hAnsiTheme="minorHAnsi"/>
                <w:sz w:val="24"/>
                <w:szCs w:val="24"/>
                <w:lang w:val="en-US"/>
              </w:rPr>
            </w:pPr>
            <w:r>
              <w:rPr>
                <w:rFonts w:asciiTheme="minorHAnsi" w:hAnsiTheme="minorHAnsi"/>
                <w:sz w:val="24"/>
                <w:szCs w:val="24"/>
                <w:lang w:val="en-US"/>
              </w:rPr>
              <w:t>15</w:t>
            </w:r>
            <w:r w:rsidR="007757BC">
              <w:rPr>
                <w:rFonts w:asciiTheme="minorHAnsi" w:hAnsiTheme="minorHAnsi"/>
                <w:sz w:val="24"/>
                <w:szCs w:val="24"/>
                <w:lang w:val="en-US"/>
              </w:rPr>
              <w:t xml:space="preserve"> Apr</w:t>
            </w:r>
          </w:p>
        </w:tc>
        <w:tc>
          <w:tcPr>
            <w:tcW w:w="450" w:type="dxa"/>
          </w:tcPr>
          <w:p w:rsidR="00E76169" w:rsidRPr="00E76169" w:rsidRDefault="002F5951" w:rsidP="007757BC">
            <w:pPr>
              <w:rPr>
                <w:rFonts w:asciiTheme="minorHAnsi" w:hAnsiTheme="minorHAnsi"/>
                <w:sz w:val="24"/>
                <w:szCs w:val="24"/>
                <w:lang w:val="en-US"/>
              </w:rPr>
            </w:pPr>
            <w:r>
              <w:rPr>
                <w:rFonts w:asciiTheme="minorHAnsi" w:hAnsiTheme="minorHAnsi"/>
                <w:noProof/>
                <w:sz w:val="24"/>
                <w:szCs w:val="24"/>
                <w:lang w:val="en-US"/>
              </w:rPr>
              <w:pict>
                <v:rect id="_x0000_s1065" style="position:absolute;margin-left:-1.8pt;margin-top:.65pt;width:10.65pt;height:10.05pt;z-index:251670528;mso-position-horizontal-relative:text;mso-position-vertical-relative:margin">
                  <v:shadow on="t" offset=",3pt" offset2=",2pt"/>
                  <w10:wrap anchory="margin"/>
                </v:rect>
              </w:pict>
            </w:r>
          </w:p>
        </w:tc>
        <w:tc>
          <w:tcPr>
            <w:tcW w:w="3309" w:type="dxa"/>
          </w:tcPr>
          <w:p w:rsidR="00E76169" w:rsidRPr="00E76169" w:rsidRDefault="00BB37B7" w:rsidP="001A500C">
            <w:pPr>
              <w:rPr>
                <w:rFonts w:asciiTheme="minorHAnsi" w:hAnsiTheme="minorHAnsi"/>
                <w:sz w:val="24"/>
                <w:szCs w:val="24"/>
                <w:lang w:val="en-US"/>
              </w:rPr>
            </w:pPr>
            <w:r>
              <w:rPr>
                <w:rFonts w:asciiTheme="minorHAnsi" w:hAnsiTheme="minorHAnsi"/>
                <w:sz w:val="24"/>
                <w:szCs w:val="24"/>
                <w:lang w:val="en-US"/>
              </w:rPr>
              <w:t>10</w:t>
            </w:r>
            <w:r w:rsidR="007757BC">
              <w:rPr>
                <w:rFonts w:asciiTheme="minorHAnsi" w:hAnsiTheme="minorHAnsi"/>
                <w:sz w:val="24"/>
                <w:szCs w:val="24"/>
                <w:lang w:val="en-US"/>
              </w:rPr>
              <w:t xml:space="preserve"> Jun 2016</w:t>
            </w:r>
          </w:p>
        </w:tc>
      </w:tr>
    </w:tbl>
    <w:p w:rsidR="0027004C" w:rsidRDefault="0027004C" w:rsidP="002D40CE">
      <w:pPr>
        <w:pStyle w:val="Heading2"/>
        <w:jc w:val="left"/>
        <w:rPr>
          <w:sz w:val="16"/>
          <w:szCs w:val="16"/>
        </w:rPr>
      </w:pPr>
    </w:p>
    <w:p w:rsidR="004E6547" w:rsidRDefault="002F5951" w:rsidP="00E76169">
      <w:pPr>
        <w:rPr>
          <w:rFonts w:asciiTheme="minorHAnsi" w:hAnsiTheme="minorHAnsi"/>
          <w:sz w:val="24"/>
          <w:szCs w:val="24"/>
        </w:rPr>
      </w:pPr>
      <w:r w:rsidRPr="002F5951">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2F5951" w:rsidP="00E76169">
      <w:pPr>
        <w:jc w:val="center"/>
        <w:rPr>
          <w:rFonts w:asciiTheme="minorHAnsi" w:hAnsiTheme="minorHAnsi"/>
          <w:sz w:val="24"/>
          <w:szCs w:val="24"/>
        </w:rPr>
      </w:pPr>
      <w:r w:rsidRPr="002F5951">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please</w:t>
      </w:r>
      <w:proofErr w:type="gramEnd"/>
      <w:r w:rsidRPr="00E76169">
        <w:rPr>
          <w:rFonts w:asciiTheme="minorHAnsi" w:hAnsiTheme="minorHAnsi"/>
          <w:sz w:val="24"/>
          <w:szCs w:val="24"/>
        </w:rPr>
        <w:t xml:space="preserve"> call 03-7958 8001 / 03-7958 8002 or</w:t>
      </w:r>
    </w:p>
    <w:p w:rsidR="00C248F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fax</w:t>
      </w:r>
      <w:proofErr w:type="gramEnd"/>
      <w:r w:rsidRPr="00E76169">
        <w:rPr>
          <w:rFonts w:asciiTheme="minorHAnsi" w:hAnsiTheme="minorHAnsi"/>
          <w:sz w:val="24"/>
          <w:szCs w:val="24"/>
        </w:rPr>
        <w:t xml:space="preserve">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E76169">
      <w:pPr>
        <w:jc w:val="center"/>
        <w:rPr>
          <w:rFonts w:asciiTheme="minorHAnsi" w:hAnsiTheme="minorHAnsi"/>
          <w:sz w:val="24"/>
          <w:szCs w:val="24"/>
        </w:rPr>
      </w:pPr>
      <w:proofErr w:type="gramStart"/>
      <w:r w:rsidRPr="00E76169">
        <w:rPr>
          <w:rFonts w:asciiTheme="minorHAnsi" w:hAnsiTheme="minorHAnsi"/>
          <w:sz w:val="24"/>
          <w:szCs w:val="24"/>
        </w:rPr>
        <w:t>e-mail</w:t>
      </w:r>
      <w:proofErr w:type="gramEnd"/>
      <w:r w:rsidRPr="00E76169">
        <w:rPr>
          <w:rFonts w:asciiTheme="minorHAnsi" w:hAnsiTheme="minorHAnsi"/>
          <w:sz w:val="24"/>
          <w:szCs w:val="24"/>
        </w:rPr>
        <w:t xml:space="preserve"> to: </w:t>
      </w:r>
      <w:hyperlink r:id="rId15" w:history="1">
        <w:r w:rsidR="00C248F9" w:rsidRPr="008A4104">
          <w:rPr>
            <w:rStyle w:val="Hyperlink"/>
            <w:rFonts w:asciiTheme="minorHAnsi" w:hAnsiTheme="minorHAnsi"/>
            <w:sz w:val="24"/>
            <w:szCs w:val="24"/>
          </w:rPr>
          <w:t>mailmarshal@bursatra.com.my</w:t>
        </w:r>
      </w:hyperlink>
    </w:p>
    <w:p w:rsidR="00C248F9" w:rsidRDefault="002F5951"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63" w:rsidRDefault="00B00F63">
      <w:r>
        <w:separator/>
      </w:r>
    </w:p>
  </w:endnote>
  <w:endnote w:type="continuationSeparator" w:id="1">
    <w:p w:rsidR="00B00F63" w:rsidRDefault="00B00F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63" w:rsidRDefault="00B00F63">
      <w:r>
        <w:separator/>
      </w:r>
    </w:p>
  </w:footnote>
  <w:footnote w:type="continuationSeparator" w:id="1">
    <w:p w:rsidR="00B00F63" w:rsidRDefault="00B00F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2F59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2F5951" w:rsidP="00C24690">
    <w:pPr>
      <w:pStyle w:val="Heading5"/>
      <w:ind w:left="-810" w:hanging="90"/>
      <w:rPr>
        <w:rFonts w:ascii="Century Gothic" w:hAnsi="Century Gothic"/>
        <w:i w:val="0"/>
        <w:iCs/>
        <w:sz w:val="24"/>
        <w:szCs w:val="24"/>
      </w:rPr>
    </w:pPr>
    <w:r w:rsidRPr="002F595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2F595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A02"/>
    <w:multiLevelType w:val="hybridMultilevel"/>
    <w:tmpl w:val="DB526C2A"/>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7116"/>
    <w:multiLevelType w:val="hybridMultilevel"/>
    <w:tmpl w:val="2F286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98407A"/>
    <w:multiLevelType w:val="hybridMultilevel"/>
    <w:tmpl w:val="9AF2D8A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642235E0"/>
    <w:multiLevelType w:val="hybridMultilevel"/>
    <w:tmpl w:val="1430D4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6AFC137A"/>
    <w:multiLevelType w:val="hybridMultilevel"/>
    <w:tmpl w:val="A3F0BCCE"/>
    <w:lvl w:ilvl="0" w:tplc="CFB02090">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4"/>
  </w:num>
  <w:num w:numId="2">
    <w:abstractNumId w:val="1"/>
  </w:num>
  <w:num w:numId="3">
    <w:abstractNumId w:val="15"/>
  </w:num>
  <w:num w:numId="4">
    <w:abstractNumId w:val="8"/>
  </w:num>
  <w:num w:numId="5">
    <w:abstractNumId w:val="14"/>
  </w:num>
  <w:num w:numId="6">
    <w:abstractNumId w:val="9"/>
  </w:num>
  <w:num w:numId="7">
    <w:abstractNumId w:val="6"/>
  </w:num>
  <w:num w:numId="8">
    <w:abstractNumId w:val="10"/>
  </w:num>
  <w:num w:numId="9">
    <w:abstractNumId w:val="7"/>
  </w:num>
  <w:num w:numId="10">
    <w:abstractNumId w:val="11"/>
  </w:num>
  <w:num w:numId="11">
    <w:abstractNumId w:val="3"/>
  </w:num>
  <w:num w:numId="12">
    <w:abstractNumId w:val="13"/>
  </w:num>
  <w:num w:numId="13">
    <w:abstractNumId w:val="0"/>
  </w:num>
  <w:num w:numId="14">
    <w:abstractNumId w:val="5"/>
  </w:num>
  <w:num w:numId="15">
    <w:abstractNumId w:val="12"/>
  </w:num>
  <w:num w:numId="1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055">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595D"/>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DF0"/>
    <w:rsid w:val="002E6DF1"/>
    <w:rsid w:val="002F32AA"/>
    <w:rsid w:val="002F5951"/>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30BC"/>
    <w:rsid w:val="00394B45"/>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37B7"/>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1AA0"/>
    <w:rsid w:val="00E76169"/>
    <w:rsid w:val="00E81344"/>
    <w:rsid w:val="00E841EA"/>
    <w:rsid w:val="00E954FF"/>
    <w:rsid w:val="00EA2BE7"/>
    <w:rsid w:val="00EA4BF4"/>
    <w:rsid w:val="00EB1AA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1EAE"/>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aeaea"/>
    </o:shapedefaults>
    <o:shapelayout v:ext="edit">
      <o:idmap v:ext="edit" data="1"/>
      <o:rules v:ext="edit">
        <o:r id="V:Rule4" type="connector" idref="#_x0000_s1039"/>
        <o:r id="V:Rule5" type="connector" idref="#_x0000_s1028"/>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ilmarshal@bursatra.com.my"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EB973-8AE0-485C-956B-A24C7704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706</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Optimizing The Board’s Perspective On Organizational Strategy For Effective Mergers &amp; Acquisitions Activities</vt:lpstr>
    </vt:vector>
  </TitlesOfParts>
  <Company>Bursatra</Company>
  <LinksUpToDate>false</LinksUpToDate>
  <CharactersWithSpaces>4835</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AuditCommitteesOversight</dc:title>
  <dc:creator>Azlan</dc:creator>
  <cp:lastModifiedBy>hp</cp:lastModifiedBy>
  <cp:revision>5</cp:revision>
  <cp:lastPrinted>2015-06-30T15:28:00Z</cp:lastPrinted>
  <dcterms:created xsi:type="dcterms:W3CDTF">2016-01-28T18:24:00Z</dcterms:created>
  <dcterms:modified xsi:type="dcterms:W3CDTF">2016-01-28T18:42:00Z</dcterms:modified>
  <cp:category>Corporate Governance Management and Best Practices</cp:category>
</cp:coreProperties>
</file>